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ZK1 2020 3 vom 12. April 2021</w:t>
      </w:r>
    </w:p>
    <w:p>
      <w:r>
        <w:t>SZ Gerichte, 2021-04-12, DE</w:t>
      </w:r>
    </w:p>
    <w:p>
      <w:r>
        <w:rPr>
          <w:b/>
        </w:rPr>
        <w:t xml:space="preserve">Quelle: </w:t>
      </w:r>
      <w:r>
        <w:t>https://mcp.opencaselaw.ch/entscheid/sz_gerichte_ZK1 2020 3</w:t>
      </w:r>
    </w:p>
    <w:p>
      <w:r>
        <w:t>FR: SZ_GERICHTE ZK1 2020 3 du 12 avril 2021</w:t>
      </w:r>
    </w:p>
    <w:p>
      <w:r>
        <w:t>IT: SZ_GERICHTE ZK1 2020 3 del 12 aprile 2021</w:t>
      </w:r>
    </w:p>
    <w:p>
      <w:pPr>
        <w:pStyle w:val="Heading2"/>
      </w:pPr>
      <w:r>
        <w:t>Regeste</w:t>
      </w:r>
    </w:p>
    <w:p>
      <w:r>
        <w:t>Grundbuchberichtigungsklage | Sachenrecht</w:t>
      </w:r>
    </w:p>
    <w:p>
      <w:pPr>
        <w:pStyle w:val="Heading2"/>
      </w:pPr>
      <w:r>
        <w:t>Erwägungen</w:t>
      </w:r>
    </w:p>
    <w:p>
      <w:r>
        <w:rPr>
          <w:b/>
        </w:rPr>
        <w:t>E. 1</w:t>
      </w:r>
    </w:p>
    <w:p>
      <w:r>
        <w:t>A.________ ,</w:t>
      </w:r>
    </w:p>
    <w:p>
      <w:r>
        <w:rPr>
          <w:b/>
        </w:rPr>
        <w:t>E. 2</w:t>
      </w:r>
    </w:p>
    <w:p>
      <w:r>
        <w:t>B.________ ,</w:t>
      </w:r>
    </w:p>
    <w:p>
      <w:r>
        <w:rPr>
          <w:b/>
        </w:rPr>
        <w:t>E. 3</w:t>
      </w:r>
    </w:p>
    <w:p>
      <w:r>
        <w:t>C.________ ,</w:t>
      </w:r>
    </w:p>
    <w:p>
      <w:r>
        <w:rPr>
          <w:b/>
        </w:rPr>
        <w:t>E. 4</w:t>
      </w:r>
    </w:p>
    <w:p>
      <w:r>
        <w:t>D.________ , Kläger und Berufungsführer, gegen Gemeinde E.________ , Beklagte und Berufungsgegnerin, \n \n \n \n \n \n \n \n \n betreffend \n Grundbuchberichtigungsklage \n \n \n \n (Berufung gegen das Urteil des Bezirksgerichts Schwyz vom 4. Dezember 2019, ZGO 2019 9);- \n \n \n \n hat die 1. Zivilkammer, \n \n nachdem sich ergeben: \n A. Mit Einschreiben vom 9. März 1999 machten die Erben des K.________ sel. im Grundbuchbereinigungsverfahren ihr Eigentum an GB zz geltend (KB 22). Das Grundbuchbereinigungsamt des Notariatskreises Schwyz teilte der Vormundschaftsbehörde E.________ am 16. September 2005 mit, in der Grundbuchbereinigung seien die Eigentumsverhältnisse am Grundstück GB zz zu klären. Das Amt ersuchte um die Durchführung eines Erbenrufs nach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